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CFE47">
      <w:pPr>
        <w:pStyle w:val="17"/>
        <w:keepNext w:val="0"/>
        <w:keepLines w:val="0"/>
        <w:pageBreakBefore w:val="0"/>
        <w:widowControl/>
        <w:pBdr>
          <w:top w:val="none" w:color="auto" w:sz="0" w:space="3"/>
          <w:left w:val="none" w:color="auto" w:sz="0" w:space="0"/>
          <w:bottom w:val="none" w:color="auto" w:sz="0" w:space="3"/>
          <w:right w:val="none" w:color="auto" w:sz="0" w:space="0"/>
        </w:pBdr>
        <w:kinsoku/>
        <w:wordWrap/>
        <w:overflowPunct/>
        <w:topLinePunct w:val="0"/>
        <w:autoSpaceDE/>
        <w:autoSpaceDN/>
        <w:bidi w:val="0"/>
        <w:adjustRightInd/>
        <w:snapToGrid/>
        <w:spacing w:before="0" w:after="0" w:line="320" w:lineRule="exact"/>
        <w:ind w:left="0" w:right="0"/>
        <w:textAlignment w:val="auto"/>
        <w:rPr>
          <w:sz w:val="27"/>
          <w:szCs w:val="27"/>
        </w:rPr>
      </w:pPr>
      <w:r>
        <w:t xml:space="preserve">自贡市智慧零碳虚拟电厂项目（一期）平台及组网部分标段评标结果公示 （流标） </w:t>
      </w:r>
    </w:p>
    <w:p w14:paraId="0172746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ind w:left="0" w:right="0"/>
        <w:textAlignment w:val="auto"/>
      </w:pPr>
      <w:r>
        <w:t> </w:t>
      </w:r>
    </w:p>
    <w:tbl>
      <w:tblPr>
        <w:tblStyle w:val="19"/>
        <w:tblW w:w="5000" w:type="pct"/>
        <w:jc w:val="center"/>
        <w:tblLayout w:type="autofit"/>
        <w:tblCellMar>
          <w:top w:w="0" w:type="dxa"/>
          <w:left w:w="0" w:type="dxa"/>
          <w:bottom w:w="0" w:type="dxa"/>
          <w:right w:w="0" w:type="dxa"/>
        </w:tblCellMar>
      </w:tblPr>
      <w:tblGrid>
        <w:gridCol w:w="2584"/>
        <w:gridCol w:w="5017"/>
        <w:gridCol w:w="3040"/>
        <w:gridCol w:w="4561"/>
      </w:tblGrid>
      <w:tr w14:paraId="6E882D7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167C4D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项目及标段名称</w:t>
            </w:r>
          </w:p>
        </w:tc>
        <w:tc>
          <w:tcPr>
            <w:tcW w:w="4150"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22B27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自贡市智慧零碳虚拟电厂项目（一期）平台及组网部分标段</w:t>
            </w:r>
          </w:p>
        </w:tc>
      </w:tr>
      <w:tr w14:paraId="4121B4E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B89F8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招标人</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616A2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自贡高投综合能源发展有限公司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234E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招标人联系电话</w:t>
            </w:r>
            <w:bookmarkStart w:id="0" w:name="_GoBack"/>
            <w:bookmarkEnd w:id="0"/>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B02D8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0813-5160088</w:t>
            </w:r>
          </w:p>
        </w:tc>
      </w:tr>
      <w:tr w14:paraId="01BD0690">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F2752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招标代理机构</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2CCDDB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四川德海工程项目管理咨询有限公司</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9AFF0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招标代理机构联系电话</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0AF7A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0813-8336899</w:t>
            </w:r>
          </w:p>
        </w:tc>
      </w:tr>
      <w:tr w14:paraId="4E978E7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0EE06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开标地点</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EE7D9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自贡市政务服务中心四楼丹桂大街南段811号</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FFFEE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开标时间</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F5866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20260509 - 10:00:00</w:t>
            </w:r>
          </w:p>
        </w:tc>
      </w:tr>
      <w:tr w14:paraId="18A8465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C6578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公示期</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11BD2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2026年05月11日 至 2026年05月14日</w:t>
            </w:r>
          </w:p>
        </w:tc>
        <w:tc>
          <w:tcPr>
            <w:tcW w:w="10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96141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投标最高限价（元）</w:t>
            </w:r>
          </w:p>
        </w:tc>
        <w:tc>
          <w:tcPr>
            <w:tcW w:w="1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D1F8B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5996558.00 </w:t>
            </w:r>
          </w:p>
        </w:tc>
      </w:tr>
    </w:tbl>
    <w:p w14:paraId="4B1280AE">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1520"/>
        <w:gridCol w:w="3648"/>
        <w:gridCol w:w="2128"/>
        <w:gridCol w:w="2128"/>
        <w:gridCol w:w="2128"/>
        <w:gridCol w:w="2129"/>
        <w:gridCol w:w="1521"/>
      </w:tblGrid>
      <w:tr w14:paraId="1B94525C">
        <w:tblPrEx>
          <w:tblCellMar>
            <w:top w:w="0" w:type="dxa"/>
            <w:left w:w="0" w:type="dxa"/>
            <w:bottom w:w="0" w:type="dxa"/>
            <w:right w:w="0" w:type="dxa"/>
          </w:tblCellMar>
        </w:tblPrEx>
        <w:trPr>
          <w:jc w:val="center"/>
        </w:trPr>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000374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中标候选人及排序</w:t>
            </w:r>
          </w:p>
        </w:tc>
        <w:tc>
          <w:tcPr>
            <w:tcW w:w="12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CD9AFE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中标候选人名称</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46A7810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质量</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027BB8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工期（交货期）</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0282F7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投标报价（元）</w:t>
            </w:r>
          </w:p>
        </w:tc>
        <w:tc>
          <w:tcPr>
            <w:tcW w:w="7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0FFAFE4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经评审的投标价（元）</w:t>
            </w:r>
          </w:p>
        </w:tc>
        <w:tc>
          <w:tcPr>
            <w:tcW w:w="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3DD0F8B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综合评标得分</w:t>
            </w:r>
          </w:p>
        </w:tc>
      </w:tr>
      <w:tr w14:paraId="7B48E937">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10CC3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第一名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08C9D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ECC6D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4D278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81522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CF6EE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45F56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r>
      <w:tr w14:paraId="79F3247D">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23976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第二名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3EFE0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11092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26AB6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7DDD7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71FBD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C79CE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r>
      <w:tr w14:paraId="17F860CD">
        <w:tblPrEx>
          <w:tblCellMar>
            <w:top w:w="0" w:type="dxa"/>
            <w:left w:w="0" w:type="dxa"/>
            <w:bottom w:w="0" w:type="dxa"/>
            <w:right w:w="0" w:type="dxa"/>
          </w:tblCellMar>
        </w:tblPrEx>
        <w:trPr>
          <w:jc w:val="center"/>
        </w:trPr>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218C1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第三名</w:t>
            </w:r>
          </w:p>
        </w:tc>
        <w:tc>
          <w:tcPr>
            <w:tcW w:w="12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88FBD2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B8258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263E6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C0D950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7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D5C0F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c>
          <w:tcPr>
            <w:tcW w:w="5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046BFC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无</w:t>
            </w:r>
          </w:p>
        </w:tc>
      </w:tr>
    </w:tbl>
    <w:p w14:paraId="5283C231">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2F805FBB">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C69F96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中标候选人评审结果</w:t>
            </w:r>
          </w:p>
        </w:tc>
      </w:tr>
      <w:tr w14:paraId="10A919A7">
        <w:tblPrEx>
          <w:tblCellMar>
            <w:top w:w="0" w:type="dxa"/>
            <w:left w:w="0" w:type="dxa"/>
            <w:bottom w:w="0" w:type="dxa"/>
            <w:right w:w="0" w:type="dxa"/>
          </w:tblCellMar>
        </w:tblPrEx>
        <w:trPr>
          <w:jc w:val="center"/>
        </w:trPr>
        <w:tc>
          <w:tcPr>
            <w:tcW w:w="8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8502CB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中标候选人排序</w:t>
            </w:r>
          </w:p>
        </w:tc>
        <w:tc>
          <w:tcPr>
            <w:tcW w:w="11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A4FCAF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中标候选人名称</w:t>
            </w:r>
          </w:p>
        </w:tc>
        <w:tc>
          <w:tcPr>
            <w:tcW w:w="7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9FBE8A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评标专家</w:t>
            </w:r>
          </w:p>
        </w:tc>
        <w:tc>
          <w:tcPr>
            <w:tcW w:w="7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A309D8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商务部分得分</w:t>
            </w:r>
          </w:p>
        </w:tc>
        <w:tc>
          <w:tcPr>
            <w:tcW w:w="7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1446C3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技术部分得分</w:t>
            </w:r>
          </w:p>
        </w:tc>
        <w:tc>
          <w:tcPr>
            <w:tcW w:w="75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28E071C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报价部分得分</w:t>
            </w:r>
          </w:p>
        </w:tc>
      </w:tr>
    </w:tbl>
    <w:p w14:paraId="445EE042">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668B628E">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54DAAF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第一中标候选人项目管理机构主要人员（无）</w:t>
            </w:r>
          </w:p>
        </w:tc>
      </w:tr>
      <w:tr w14:paraId="601AEB74">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7EC9EF6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7A530C2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AFA61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44F453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职称</w:t>
            </w:r>
          </w:p>
        </w:tc>
      </w:tr>
      <w:tr w14:paraId="55A09D93">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02D81143">
            <w:pPr>
              <w:keepNext w:val="0"/>
              <w:keepLines w:val="0"/>
              <w:pageBreakBefore w:val="0"/>
              <w:widowControl/>
              <w:kinsoku/>
              <w:wordWrap/>
              <w:overflowPunct/>
              <w:topLinePunct w:val="0"/>
              <w:autoSpaceDE/>
              <w:autoSpaceDN/>
              <w:bidi w:val="0"/>
              <w:adjustRightInd/>
              <w:snapToGrid/>
              <w:spacing w:line="320" w:lineRule="exact"/>
              <w:textAlignment w:val="auto"/>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2B686869">
            <w:pPr>
              <w:keepNext w:val="0"/>
              <w:keepLines w:val="0"/>
              <w:pageBreakBefore w:val="0"/>
              <w:widowControl/>
              <w:kinsoku/>
              <w:wordWrap/>
              <w:overflowPunct/>
              <w:topLinePunct w:val="0"/>
              <w:autoSpaceDE/>
              <w:autoSpaceDN/>
              <w:bidi w:val="0"/>
              <w:adjustRightInd/>
              <w:snapToGrid/>
              <w:spacing w:line="320" w:lineRule="exact"/>
              <w:textAlignment w:val="auto"/>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7B5B7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A7B6C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C6336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E8006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级别</w:t>
            </w:r>
          </w:p>
        </w:tc>
      </w:tr>
      <w:tr w14:paraId="7F17CB5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62F94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F1588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2B46D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E2D9F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F2789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5F5E9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r w14:paraId="1CB190C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88606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85BBD8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D0AC0D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244C19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58598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8526C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bl>
    <w:p w14:paraId="0C215CCA">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37060498">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1AD291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第二中标候选人项目管理机构主要人员（无）</w:t>
            </w:r>
          </w:p>
        </w:tc>
      </w:tr>
      <w:tr w14:paraId="01DD325B">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479970D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2ACB5FC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C2BC4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57F62C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职称</w:t>
            </w:r>
          </w:p>
        </w:tc>
      </w:tr>
      <w:tr w14:paraId="0BFDA3A5">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3F417661">
            <w:pPr>
              <w:keepNext w:val="0"/>
              <w:keepLines w:val="0"/>
              <w:pageBreakBefore w:val="0"/>
              <w:widowControl/>
              <w:kinsoku/>
              <w:wordWrap/>
              <w:overflowPunct/>
              <w:topLinePunct w:val="0"/>
              <w:autoSpaceDE/>
              <w:autoSpaceDN/>
              <w:bidi w:val="0"/>
              <w:adjustRightInd/>
              <w:snapToGrid/>
              <w:spacing w:line="320" w:lineRule="exact"/>
              <w:textAlignment w:val="auto"/>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35058791">
            <w:pPr>
              <w:keepNext w:val="0"/>
              <w:keepLines w:val="0"/>
              <w:pageBreakBefore w:val="0"/>
              <w:widowControl/>
              <w:kinsoku/>
              <w:wordWrap/>
              <w:overflowPunct/>
              <w:topLinePunct w:val="0"/>
              <w:autoSpaceDE/>
              <w:autoSpaceDN/>
              <w:bidi w:val="0"/>
              <w:adjustRightInd/>
              <w:snapToGrid/>
              <w:spacing w:line="320" w:lineRule="exact"/>
              <w:textAlignment w:val="auto"/>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3B9C5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1DA08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28E18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1481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级别</w:t>
            </w:r>
          </w:p>
        </w:tc>
      </w:tr>
      <w:tr w14:paraId="6096199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832CA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980B6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23EF5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63EE4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A674B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907FBC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r w14:paraId="27C2472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91FD8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F9AC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7B66DA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8BC0D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7E758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62CF2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bl>
    <w:p w14:paraId="2045B554">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2280"/>
        <w:gridCol w:w="2280"/>
        <w:gridCol w:w="2281"/>
        <w:gridCol w:w="2281"/>
      </w:tblGrid>
      <w:tr w14:paraId="58C46B85">
        <w:tblPrEx>
          <w:tblCellMar>
            <w:top w:w="0" w:type="dxa"/>
            <w:left w:w="0" w:type="dxa"/>
            <w:bottom w:w="0" w:type="dxa"/>
            <w:right w:w="0" w:type="dxa"/>
          </w:tblCellMar>
        </w:tblPrEx>
        <w:trPr>
          <w:jc w:val="center"/>
        </w:trPr>
        <w:tc>
          <w:tcPr>
            <w:tcW w:w="5000" w:type="pct"/>
            <w:gridSpan w:val="6"/>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18AA0BC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第三中标候选人项目管理机构主要人员（无）</w:t>
            </w:r>
          </w:p>
        </w:tc>
      </w:tr>
      <w:tr w14:paraId="67178D3A">
        <w:tblPrEx>
          <w:tblCellMar>
            <w:top w:w="0" w:type="dxa"/>
            <w:left w:w="0" w:type="dxa"/>
            <w:bottom w:w="0" w:type="dxa"/>
            <w:right w:w="0" w:type="dxa"/>
          </w:tblCellMar>
        </w:tblPrEx>
        <w:trPr>
          <w:jc w:val="center"/>
        </w:trPr>
        <w:tc>
          <w:tcPr>
            <w:tcW w:w="8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2597D0D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职务</w:t>
            </w:r>
          </w:p>
        </w:tc>
        <w:tc>
          <w:tcPr>
            <w:tcW w:w="1150" w:type="pct"/>
            <w:vMerge w:val="restart"/>
            <w:tcBorders>
              <w:top w:val="single" w:color="212121" w:sz="6" w:space="0"/>
              <w:left w:val="single" w:color="212121" w:sz="6" w:space="0"/>
              <w:bottom w:val="nil"/>
              <w:right w:val="single" w:color="212121" w:sz="6" w:space="0"/>
            </w:tcBorders>
            <w:tcMar>
              <w:top w:w="75" w:type="dxa"/>
              <w:left w:w="82" w:type="dxa"/>
              <w:bottom w:w="75" w:type="dxa"/>
              <w:right w:w="82" w:type="dxa"/>
            </w:tcMar>
            <w:vAlign w:val="center"/>
          </w:tcPr>
          <w:p w14:paraId="6850F44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姓名</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CCFBD5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执业或职业资格</w:t>
            </w:r>
          </w:p>
        </w:tc>
        <w:tc>
          <w:tcPr>
            <w:tcW w:w="1500"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70DDB4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职称</w:t>
            </w:r>
          </w:p>
        </w:tc>
      </w:tr>
      <w:tr w14:paraId="520B35D7">
        <w:tblPrEx>
          <w:tblCellMar>
            <w:top w:w="0" w:type="dxa"/>
            <w:left w:w="0" w:type="dxa"/>
            <w:bottom w:w="0" w:type="dxa"/>
            <w:right w:w="0" w:type="dxa"/>
          </w:tblCellMar>
        </w:tblPrEx>
        <w:trPr>
          <w:jc w:val="center"/>
        </w:trPr>
        <w:tc>
          <w:tcPr>
            <w:vMerge w:val="continue"/>
            <w:tcBorders>
              <w:top w:val="single" w:color="212121" w:sz="6" w:space="0"/>
              <w:left w:val="single" w:color="212121" w:sz="6" w:space="0"/>
              <w:bottom w:val="single" w:color="212121" w:sz="6" w:space="0"/>
              <w:right w:val="single" w:color="212121" w:sz="6" w:space="0"/>
            </w:tcBorders>
            <w:vAlign w:val="center"/>
          </w:tcPr>
          <w:p w14:paraId="5E4ABEB5">
            <w:pPr>
              <w:keepNext w:val="0"/>
              <w:keepLines w:val="0"/>
              <w:pageBreakBefore w:val="0"/>
              <w:widowControl/>
              <w:kinsoku/>
              <w:wordWrap/>
              <w:overflowPunct/>
              <w:topLinePunct w:val="0"/>
              <w:autoSpaceDE/>
              <w:autoSpaceDN/>
              <w:bidi w:val="0"/>
              <w:adjustRightInd/>
              <w:snapToGrid/>
              <w:spacing w:line="320" w:lineRule="exact"/>
              <w:textAlignment w:val="auto"/>
              <w:rPr>
                <w:b w:val="0"/>
                <w:bCs w:val="0"/>
                <w:color w:val="212121"/>
              </w:rPr>
            </w:pPr>
          </w:p>
        </w:tc>
        <w:tc>
          <w:tcPr>
            <w:vMerge w:val="continue"/>
            <w:tcBorders>
              <w:top w:val="single" w:color="212121" w:sz="6" w:space="0"/>
              <w:left w:val="single" w:color="212121" w:sz="6" w:space="0"/>
              <w:bottom w:val="single" w:color="212121" w:sz="6" w:space="0"/>
              <w:right w:val="single" w:color="212121" w:sz="6" w:space="0"/>
            </w:tcBorders>
            <w:vAlign w:val="center"/>
          </w:tcPr>
          <w:p w14:paraId="7A415AD9">
            <w:pPr>
              <w:keepNext w:val="0"/>
              <w:keepLines w:val="0"/>
              <w:pageBreakBefore w:val="0"/>
              <w:widowControl/>
              <w:kinsoku/>
              <w:wordWrap/>
              <w:overflowPunct/>
              <w:topLinePunct w:val="0"/>
              <w:autoSpaceDE/>
              <w:autoSpaceDN/>
              <w:bidi w:val="0"/>
              <w:adjustRightInd/>
              <w:snapToGrid/>
              <w:spacing w:line="320" w:lineRule="exact"/>
              <w:textAlignment w:val="auto"/>
              <w:rPr>
                <w:b w:val="0"/>
                <w:bCs w:val="0"/>
                <w:color w:val="212121"/>
              </w:rPr>
            </w:pP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23AB6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证书名称</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6F143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证书编号</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73D21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职称专业</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1C85E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级别</w:t>
            </w:r>
          </w:p>
        </w:tc>
      </w:tr>
      <w:tr w14:paraId="098EECE3">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ED66F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AB884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F6EF5D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072763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1706F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20614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r w14:paraId="135D88F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E6AE2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项目技术负责人</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47C7E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81B23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187A3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6F75D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c>
          <w:tcPr>
            <w:tcW w:w="7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451B2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bl>
    <w:p w14:paraId="21A9D347">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48BEF95C">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BB7F50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第一中标候选人类似业绩（无）</w:t>
            </w:r>
          </w:p>
        </w:tc>
      </w:tr>
      <w:tr w14:paraId="3A2CEA41">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BD302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3ACA9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2D6538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19BFC9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863C8C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423D56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81688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项目负责人 </w:t>
            </w:r>
          </w:p>
        </w:tc>
      </w:tr>
      <w:tr w14:paraId="41E0F97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947C71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B6A2F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D5D2F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35E4E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4A18B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0BE43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D45A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r w14:paraId="62E4A3E7">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6D9A4B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第一中标候选人项目负责人类似业绩（无）</w:t>
            </w:r>
          </w:p>
        </w:tc>
      </w:tr>
      <w:tr w14:paraId="78B4481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28C97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4DC03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7AD83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3B1E10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05DFA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909E5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6524D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技术负责人</w:t>
            </w:r>
          </w:p>
        </w:tc>
      </w:tr>
      <w:tr w14:paraId="7F91E78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B4E125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7F3C2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25F4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77749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B17048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4C016D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486646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r w14:paraId="2CB01A0C">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36365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第一中标候选人技术负责人类似业绩（无）</w:t>
            </w:r>
          </w:p>
        </w:tc>
      </w:tr>
      <w:tr w14:paraId="6B37068C">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46638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B0B6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04C14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7BAD3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17A7B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7BF7E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F6C7E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项目负责人</w:t>
            </w:r>
          </w:p>
        </w:tc>
      </w:tr>
      <w:tr w14:paraId="4F93130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7940C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FDF267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D66F7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9FCD1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9BCA6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5C38C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1734C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bl>
    <w:p w14:paraId="769738B5">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563065F4">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67A57D1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第二中标候选人类似业绩（无）</w:t>
            </w:r>
          </w:p>
        </w:tc>
      </w:tr>
      <w:tr w14:paraId="4041A1D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5C67C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E5282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825284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C568F7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5E8815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4D6569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5F8E5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项目负责人 </w:t>
            </w:r>
          </w:p>
        </w:tc>
      </w:tr>
      <w:tr w14:paraId="39841D8E">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18F00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561D6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B4DBC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80E5A8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F14A25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7BE81B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2B25A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r w14:paraId="40FBE319">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DC65BD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第二中标候选人项目负责人类似业绩（无）</w:t>
            </w:r>
          </w:p>
        </w:tc>
      </w:tr>
      <w:tr w14:paraId="52E640E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71D35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5B1FB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290E5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E3FC0D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F10510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8A04E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D3412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技术负责人</w:t>
            </w:r>
          </w:p>
        </w:tc>
      </w:tr>
      <w:tr w14:paraId="4C11B247">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20612F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D9588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E7CBA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918023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76729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2ECF0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95147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r w14:paraId="1E887914">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F3E1CE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第二中标候选人技术负责人类似业绩（无）</w:t>
            </w:r>
          </w:p>
        </w:tc>
      </w:tr>
      <w:tr w14:paraId="0A7AE01F">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47563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64E17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15BB9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E4AD86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14AA5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5D5EE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C9D7C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项目负责人</w:t>
            </w:r>
          </w:p>
        </w:tc>
      </w:tr>
      <w:tr w14:paraId="1AD8F8F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C122C1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C6A4A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02D7F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E16256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7E35A2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A1DE4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89A61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bl>
    <w:p w14:paraId="7CB5EF61">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84"/>
        <w:gridCol w:w="3496"/>
        <w:gridCol w:w="1824"/>
        <w:gridCol w:w="1976"/>
        <w:gridCol w:w="1976"/>
        <w:gridCol w:w="1673"/>
        <w:gridCol w:w="1673"/>
      </w:tblGrid>
      <w:tr w14:paraId="34CFDF02">
        <w:tblPrEx>
          <w:tblCellMar>
            <w:top w:w="0" w:type="dxa"/>
            <w:left w:w="0" w:type="dxa"/>
            <w:bottom w:w="0" w:type="dxa"/>
            <w:right w:w="0" w:type="dxa"/>
          </w:tblCellMar>
        </w:tblPrEx>
        <w:trPr>
          <w:jc w:val="center"/>
        </w:trPr>
        <w:tc>
          <w:tcPr>
            <w:tcW w:w="5000" w:type="pct"/>
            <w:gridSpan w:val="7"/>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57B49F3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第三中标候选人类似业绩（无）</w:t>
            </w:r>
          </w:p>
        </w:tc>
      </w:tr>
      <w:tr w14:paraId="53E08C98">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AF76C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577B5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5EC744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F15F5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5EB37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6DB194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E5612C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项目负责人 </w:t>
            </w:r>
          </w:p>
        </w:tc>
      </w:tr>
      <w:tr w14:paraId="6F123B4B">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E71FA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A1FC9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BCF3E9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408665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C5674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ADB009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F2D58D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r w14:paraId="61C1B71B">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01CDF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第三中标候选人项目负责人类似业绩（无）</w:t>
            </w:r>
          </w:p>
        </w:tc>
      </w:tr>
      <w:tr w14:paraId="26063C7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ABF83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BCE206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38B31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15E32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92719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3266ED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D635AE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技术负责人</w:t>
            </w:r>
          </w:p>
        </w:tc>
      </w:tr>
      <w:tr w14:paraId="5994F52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0E2EB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1668D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60859C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3FED8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0FEAFD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93F6AF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8FCA1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r w14:paraId="5BA7FD8D">
        <w:tblPrEx>
          <w:tblCellMar>
            <w:top w:w="0" w:type="dxa"/>
            <w:left w:w="0" w:type="dxa"/>
            <w:bottom w:w="0" w:type="dxa"/>
            <w:right w:w="0" w:type="dxa"/>
          </w:tblCellMar>
        </w:tblPrEx>
        <w:trPr>
          <w:jc w:val="center"/>
        </w:trPr>
        <w:tc>
          <w:tcPr>
            <w:tcW w:w="5000" w:type="pct"/>
            <w:gridSpan w:val="7"/>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A27BB1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第三中标候选人技术负责人类似业绩（无）</w:t>
            </w:r>
          </w:p>
        </w:tc>
      </w:tr>
      <w:tr w14:paraId="06E55B56">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1E50B6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项目业主</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D4DD2F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项目名称</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57CDFA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开工日期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05ECC5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竣工（交工）日期</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A5586E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建设规模</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E04EF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合同价格（元）</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32BD34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项目负责人</w:t>
            </w:r>
          </w:p>
        </w:tc>
      </w:tr>
      <w:tr w14:paraId="08F89B25">
        <w:tblPrEx>
          <w:tblCellMar>
            <w:top w:w="0" w:type="dxa"/>
            <w:left w:w="0" w:type="dxa"/>
            <w:bottom w:w="0" w:type="dxa"/>
            <w:right w:w="0" w:type="dxa"/>
          </w:tblCellMar>
        </w:tblPrEx>
        <w:trPr>
          <w:jc w:val="center"/>
        </w:trPr>
        <w:tc>
          <w:tcPr>
            <w:tcW w:w="8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B01157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11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A16703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0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E864B4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65DC32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86D6E1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A0261F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c>
          <w:tcPr>
            <w:tcW w:w="5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BCD21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 xml:space="preserve">无 </w:t>
            </w:r>
          </w:p>
        </w:tc>
      </w:tr>
    </w:tbl>
    <w:p w14:paraId="43517FE9">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2578"/>
        <w:gridCol w:w="5017"/>
        <w:gridCol w:w="4910"/>
        <w:gridCol w:w="2697"/>
      </w:tblGrid>
      <w:tr w14:paraId="7783453F">
        <w:tblPrEx>
          <w:tblCellMar>
            <w:top w:w="0" w:type="dxa"/>
            <w:left w:w="0" w:type="dxa"/>
            <w:bottom w:w="0" w:type="dxa"/>
            <w:right w:w="0" w:type="dxa"/>
          </w:tblCellMar>
        </w:tblPrEx>
        <w:trPr>
          <w:jc w:val="center"/>
        </w:trPr>
        <w:tc>
          <w:tcPr>
            <w:tcW w:w="5000" w:type="pct"/>
            <w:gridSpan w:val="4"/>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83948B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color w:val="212121"/>
              </w:rPr>
            </w:pPr>
            <w:r>
              <w:rPr>
                <w:color w:val="212121"/>
              </w:rPr>
              <w:t>其他投标人（除中标候选人之外）的评审情况</w:t>
            </w:r>
          </w:p>
        </w:tc>
      </w:tr>
      <w:tr w14:paraId="01DE6115">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61A6A9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投标人名称</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52B3E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投标报价（元）或否决投标依据条款（投标文件被认定为不合格所依据的招标文件评标办法中的评审因素和评审标准的条款）</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EEF7AC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经评审的投标价（元）或否决投标理由（投标文件被认定为不合格的具体事实,不得简单表述为未响应招标文件实质性内容、某处有问题等）</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D8DF86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综合评估得分或备注</w:t>
            </w:r>
          </w:p>
        </w:tc>
      </w:tr>
      <w:tr w14:paraId="2EE4853F">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D441F3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北京清能互联科技有限公司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F77179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5763900.00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6AC1F5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1842B4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358CE1FF">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14D0AE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北京用尚科技股份有限公司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69BD4D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4971600.00元(评标委员会认为其低于成本说明不合理，认定该投标人以低于成本报价竞标，其投标作否决处理)</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2606EC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0.00元(评标委员会认为其低于成本说明不合理，认定该投标人以低于成本报价竞标，其投标作否决处理)</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CFA6AE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5BBD8C98">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346F16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成都倍特数字能源科技有限公司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DEAC99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5405230.00元(投标文件2022年财务报表净利润亏损，不满足招标文件投标人须知前附表1.4.1财务要求)</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C2AA58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0.00元(投标文件2022年财务报表净利润亏损，不满足招标文件投标人须知前附表1.4.1财务要求)</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1329B4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3A0DECD1">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2A6E24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杭州太阁未名科技有限公司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1D42AA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5871300.00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55E5C8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FA3BC4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3313B35E">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09DD26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清华四川能源互联网研究院</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23C0C6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5410000.00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6656E0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872DDA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5A1BC4A3">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7CED9D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四川大学</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04E37F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5157040.00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E2A6DE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投标文件分项报价表中单项投标报价超过控制价，不满足招标文件投标人须知前附表3.2.5投标报价的其他要求中”投标人须根据招标人提供的项目清单及单项控制价，逐项对每个产品的单价进行报价，投标报价不得高于单项控制价，否则按废标处理“要求)</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C2C125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7EC64AC3">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2DCD53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 中国电信股份有限公司自贡分公司</w:t>
            </w:r>
          </w:p>
        </w:tc>
        <w:tc>
          <w:tcPr>
            <w:tcW w:w="1650"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5B1EDB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5576798.94元(投标文件技术资料提供的“★实质性内容”证明材料系统功能截图，无法清晰体现全部功能点，不满足第五章“供货要求”中的实质性要求和条件，作否决处理)</w:t>
            </w:r>
          </w:p>
        </w:tc>
        <w:tc>
          <w:tcPr>
            <w:tcW w:w="1614"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568FD0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0.00元(投标文件技术资料提供的“★实质性内容”证明材料系统功能截图，无法清晰体现全部功能点，不满足第五章“供货要求”中的实质性要求和条件，作否决处理)</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188DF95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b w:val="0"/>
                <w:bCs w:val="0"/>
                <w:color w:val="212121"/>
              </w:rPr>
            </w:pPr>
            <w:r>
              <w:rPr>
                <w:b w:val="0"/>
                <w:bCs w:val="0"/>
                <w:color w:val="212121"/>
              </w:rPr>
              <w:t>0.00</w:t>
            </w:r>
          </w:p>
        </w:tc>
      </w:tr>
      <w:tr w14:paraId="4340505A">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B2ED94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附注（其他需公示的内容）</w:t>
            </w:r>
          </w:p>
        </w:tc>
        <w:tc>
          <w:tcPr>
            <w:tcW w:w="4151"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AA3A19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无</w:t>
            </w:r>
          </w:p>
        </w:tc>
      </w:tr>
      <w:tr w14:paraId="1BDCE900">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4324806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接收异议的联系人及联系方式</w:t>
            </w:r>
          </w:p>
        </w:tc>
        <w:tc>
          <w:tcPr>
            <w:tcW w:w="3265"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39DF340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联系人：0813-5160088</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4E31A5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联系方式：0813-5160088</w:t>
            </w:r>
          </w:p>
        </w:tc>
      </w:tr>
      <w:tr w14:paraId="388A4BCC">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61FE619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监督部门名称及监督电话</w:t>
            </w:r>
          </w:p>
        </w:tc>
        <w:tc>
          <w:tcPr>
            <w:tcW w:w="3265" w:type="pct"/>
            <w:gridSpan w:val="2"/>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5F7E776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行政监督部门：自贡高新区发展改革与科学技术局</w:t>
            </w:r>
          </w:p>
        </w:tc>
        <w:tc>
          <w:tcPr>
            <w:tcW w:w="886"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271E52E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联系方式：/</w:t>
            </w:r>
          </w:p>
        </w:tc>
      </w:tr>
      <w:tr w14:paraId="46C4DA0B">
        <w:tblPrEx>
          <w:tblCellMar>
            <w:top w:w="0" w:type="dxa"/>
            <w:left w:w="0" w:type="dxa"/>
            <w:bottom w:w="0" w:type="dxa"/>
            <w:right w:w="0" w:type="dxa"/>
          </w:tblCellMar>
        </w:tblPrEx>
        <w:trPr>
          <w:jc w:val="center"/>
        </w:trPr>
        <w:tc>
          <w:tcPr>
            <w:tcW w:w="848" w:type="pct"/>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0A20797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异议投诉注意事项</w:t>
            </w:r>
          </w:p>
        </w:tc>
        <w:tc>
          <w:tcPr>
            <w:tcW w:w="4151" w:type="pct"/>
            <w:gridSpan w:val="3"/>
            <w:tcBorders>
              <w:top w:val="single" w:color="212121" w:sz="6" w:space="0"/>
              <w:left w:val="single" w:color="212121" w:sz="6" w:space="0"/>
              <w:bottom w:val="single" w:color="212121" w:sz="6" w:space="0"/>
              <w:right w:val="single" w:color="212121" w:sz="6" w:space="0"/>
            </w:tcBorders>
            <w:tcMar>
              <w:top w:w="75" w:type="dxa"/>
              <w:left w:w="82" w:type="dxa"/>
              <w:bottom w:w="75" w:type="dxa"/>
              <w:right w:w="82" w:type="dxa"/>
            </w:tcMar>
            <w:vAlign w:val="center"/>
          </w:tcPr>
          <w:p w14:paraId="70C0A705">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jc w:val="left"/>
              <w:textAlignment w:val="auto"/>
              <w:rPr>
                <w:color w:val="212121"/>
              </w:rPr>
            </w:pPr>
            <w:r>
              <w:rPr>
                <w:color w:val="212121"/>
              </w:rPr>
              <w:t xml:space="preserve">1.投标人或者其他利害关系人对依法必须进行招标的项目的评标结果有异议的，应当在中标候选人公示期间提出。招标人应当自收到异议之日起3日内作出答复；作出答复前，应当暂停招标投标活动。 </w:t>
            </w:r>
          </w:p>
          <w:p w14:paraId="09020666">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jc w:val="left"/>
              <w:textAlignment w:val="auto"/>
              <w:rPr>
                <w:color w:val="212121"/>
              </w:rPr>
            </w:pPr>
            <w:r>
              <w:rPr>
                <w:color w:val="212121"/>
              </w:rPr>
              <w:t xml:space="preserve">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w:t>
            </w:r>
          </w:p>
          <w:p w14:paraId="41D172B9">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jc w:val="left"/>
              <w:textAlignment w:val="auto"/>
              <w:rPr>
                <w:color w:val="212121"/>
              </w:rPr>
            </w:pPr>
            <w:r>
              <w:rPr>
                <w:color w:val="212121"/>
              </w:rPr>
              <w:t xml:space="preserve">3.投诉人就同一事项向两个以上有权受理的行政监督部门投诉的，由最先收到投诉的行政监督部门负责处理。 </w:t>
            </w:r>
          </w:p>
          <w:p w14:paraId="0DD594CC">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jc w:val="left"/>
              <w:textAlignment w:val="auto"/>
              <w:rPr>
                <w:color w:val="212121"/>
              </w:rPr>
            </w:pPr>
            <w:r>
              <w:rPr>
                <w:color w:val="212121"/>
              </w:rPr>
              <w:t xml:space="preserve">4.应先提出异议没有提出异议，超过投诉时效等不符合受理条件的投诉，有关行政监督部门不予受理； </w:t>
            </w:r>
          </w:p>
          <w:p w14:paraId="491E7EE7">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jc w:val="left"/>
              <w:textAlignment w:val="auto"/>
              <w:rPr>
                <w:color w:val="212121"/>
              </w:rPr>
            </w:pPr>
            <w:r>
              <w:rPr>
                <w:color w:val="212121"/>
              </w:rPr>
              <w:t xml:space="preserve">投诉人故意捏造事实、伪造证明材料或者以非法手段取得证明材料进行投诉，给他人造成损失的，依法承担赔偿责任。 </w:t>
            </w:r>
          </w:p>
        </w:tc>
      </w:tr>
    </w:tbl>
    <w:p w14:paraId="1BAD9062">
      <w:pPr>
        <w:keepNext w:val="0"/>
        <w:keepLines w:val="0"/>
        <w:pageBreakBefore w:val="0"/>
        <w:widowControl/>
        <w:kinsoku/>
        <w:wordWrap/>
        <w:overflowPunct/>
        <w:topLinePunct w:val="0"/>
        <w:autoSpaceDE/>
        <w:autoSpaceDN/>
        <w:bidi w:val="0"/>
        <w:adjustRightInd/>
        <w:snapToGrid/>
        <w:spacing w:line="320" w:lineRule="exact"/>
        <w:textAlignment w:val="auto"/>
        <w:rPr>
          <w:vanish/>
        </w:rPr>
      </w:pPr>
    </w:p>
    <w:tbl>
      <w:tblPr>
        <w:tblStyle w:val="19"/>
        <w:tblW w:w="5000" w:type="pct"/>
        <w:jc w:val="center"/>
        <w:tblLayout w:type="autofit"/>
        <w:tblCellMar>
          <w:top w:w="0" w:type="dxa"/>
          <w:left w:w="0" w:type="dxa"/>
          <w:bottom w:w="0" w:type="dxa"/>
          <w:right w:w="0" w:type="dxa"/>
        </w:tblCellMar>
      </w:tblPr>
      <w:tblGrid>
        <w:gridCol w:w="7601"/>
        <w:gridCol w:w="7601"/>
      </w:tblGrid>
      <w:tr w14:paraId="4D550407">
        <w:tblPrEx>
          <w:tblCellMar>
            <w:top w:w="0" w:type="dxa"/>
            <w:left w:w="0" w:type="dxa"/>
            <w:bottom w:w="0" w:type="dxa"/>
            <w:right w:w="0" w:type="dxa"/>
          </w:tblCellMar>
        </w:tblPrEx>
        <w:trPr>
          <w:trHeight w:val="1050" w:hRule="atLeast"/>
          <w:jc w:val="center"/>
        </w:trPr>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7F073EE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招标人主要负责人或其委托人签字、盖单位章：</w:t>
            </w:r>
            <w:r>
              <w:rPr>
                <w:color w:val="212121"/>
              </w:rPr>
              <w:br w:type="textWrapping"/>
            </w:r>
            <w:r>
              <w:rPr>
                <w:color w:val="212121"/>
              </w:rPr>
              <w:t xml:space="preserve">  </w:t>
            </w:r>
          </w:p>
        </w:tc>
        <w:tc>
          <w:tcPr>
            <w:tcW w:w="2500" w:type="pct"/>
            <w:tcBorders>
              <w:left w:val="single" w:color="212121" w:sz="6" w:space="0"/>
              <w:bottom w:val="single" w:color="212121" w:sz="6" w:space="0"/>
              <w:right w:val="single" w:color="212121" w:sz="6" w:space="0"/>
            </w:tcBorders>
            <w:tcMar>
              <w:top w:w="75" w:type="dxa"/>
              <w:left w:w="82" w:type="dxa"/>
              <w:bottom w:w="75" w:type="dxa"/>
              <w:right w:w="82" w:type="dxa"/>
            </w:tcMar>
            <w:vAlign w:val="center"/>
          </w:tcPr>
          <w:p w14:paraId="42491D2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color w:val="212121"/>
              </w:rPr>
            </w:pPr>
            <w:r>
              <w:rPr>
                <w:color w:val="212121"/>
              </w:rPr>
              <w:t>招标代理机构主要负责人或其委托人签字、盖单位章：</w:t>
            </w:r>
            <w:r>
              <w:rPr>
                <w:color w:val="212121"/>
              </w:rPr>
              <w:br w:type="textWrapping"/>
            </w:r>
            <w:r>
              <w:rPr>
                <w:color w:val="212121"/>
              </w:rPr>
              <w:t xml:space="preserve">  </w:t>
            </w:r>
          </w:p>
        </w:tc>
      </w:tr>
    </w:tbl>
    <w:p w14:paraId="7A73B6DF">
      <w:pPr>
        <w:pStyle w:val="21"/>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320" w:lineRule="exact"/>
        <w:ind w:left="0" w:right="0"/>
        <w:textAlignment w:val="auto"/>
      </w:pPr>
      <w:r>
        <w:t xml:space="preserve">  </w:t>
      </w:r>
    </w:p>
    <w:p w14:paraId="57406D6C">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 </w:t>
      </w:r>
    </w:p>
    <w:p w14:paraId="6562BDF8">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2.中标候选人是否排序由招标文件规定。招标文件规定排序的，评标委员会按招标文件的要求排序，发布人按评标结果公示排序；招标文件未规定排序的，评标委员会推荐中标候选人不排序，发布人按评标结果不公示排序。 </w:t>
      </w:r>
    </w:p>
    <w:p w14:paraId="455CC02A">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3.中标候选人是联合体的，“中标候选人名称”中联合体各方的名称均应填写。 </w:t>
      </w:r>
    </w:p>
    <w:p w14:paraId="3C209C05">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4.表中的“中标候选人类似业绩”和“中标候选人项目负责人类似业绩” 应填写中标候选人在投标文件中所附所有业绩。 </w:t>
      </w:r>
    </w:p>
    <w:p w14:paraId="794C60A2">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5.表中的“项目负责人”施工招标指项目经理、 监理招标指项目总监等；表中的“项目技术负责人”是指项目主要技术人员或项目总工，如设计中只有多个专业技术负责人，应都作为项目技术负责人，扩展表格，分别填写。 </w:t>
      </w:r>
    </w:p>
    <w:p w14:paraId="5034EEBE">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6.表中的“开工日期”和“竣工日期”、“交工日期”以各有关行政监督部门相关规定为准。 </w:t>
      </w:r>
    </w:p>
    <w:p w14:paraId="007DE9A3">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7.日期（年月日）的格式统一以阿拉伯数字表示。如：2015年9月1日，填写为20150901； 2015年9月，填写为201509； 再如2015年，填写为2015，2015/9/15 9:00:00填写为20150915－9:00:00。 </w:t>
      </w:r>
    </w:p>
    <w:p w14:paraId="1733F199">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8.表中的“合同价格”，是指承包人按合同约定完成了包括缺陷责任期内的全部承包工作后，发包人应付给承包人的金额，包括在履行合同过程中按合同约定进行的变更和调整。元指人民币元。 </w:t>
      </w:r>
    </w:p>
    <w:p w14:paraId="3314200B">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9.表中的“建设规模”采购招标应填写主要货物的数量、类型、规格等技术参数。 </w:t>
      </w:r>
    </w:p>
    <w:p w14:paraId="445E539D">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10.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 </w:t>
      </w:r>
    </w:p>
    <w:p w14:paraId="63ED13A8">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11.投标人认为评标委员会对本单位的评审可能存在错误的，可以在公示期内要求招标人提供评标报告中关于本单位的评审内容，招标人在收到投标人申请之日起，3日内予以答复。招标人不得泄露其他投标人相关的评标内容。 </w:t>
      </w:r>
    </w:p>
    <w:p w14:paraId="1F4DD8EB">
      <w:pPr>
        <w:pStyle w:val="21"/>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pPr>
      <w:r>
        <w:t xml:space="preserve">12.中标候选人公示纸质文本招标人须加盖单位公章，多页还应加盖骑缝章。 </w:t>
      </w:r>
    </w:p>
    <w:sectPr>
      <w:footerReference r:id="rId3" w:type="default"/>
      <w:pgSz w:w="16838" w:h="11906" w:orient="landscape"/>
      <w:pgMar w:top="1000" w:right="900" w:bottom="600" w:left="900" w:header="708" w:footer="708" w:gutter="0"/>
      <w:pgNumType w:fmt="decimal" w:start="1"/>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3714">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1"/>
  <w:documentProtection w:enforcement="0"/>
  <w:defaultTabStop w:val="720"/>
  <w:noPunctuationKerning w:val="1"/>
  <w:characterSpacingControl w:val="doNotCompress"/>
  <w:compat>
    <w:useFELayout/>
    <w:compatSetting w:name="compatibilityMode" w:uri="http://schemas.microsoft.com/office/word" w:val="12"/>
  </w:compat>
  <w:rsids>
    <w:rsidRoot w:val="00000000"/>
    <w:rsid w:val="73696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pBdr>
    </w:pPr>
    <w:rPr>
      <w:rFonts w:ascii="微软雅黑" w:hAnsi="微软雅黑" w:eastAsia="微软雅黑" w:cs="微软雅黑"/>
      <w:sz w:val="21"/>
      <w:szCs w:val="21"/>
      <w:lang w:val="en-US" w:eastAsia="en-US" w:bidi="ar-SA"/>
    </w:rPr>
  </w:style>
  <w:style w:type="paragraph" w:styleId="2">
    <w:name w:val="heading 1"/>
    <w:basedOn w:val="1"/>
    <w:next w:val="1"/>
    <w:link w:val="10"/>
    <w:qFormat/>
    <w:uiPriority w:val="9"/>
    <w:pPr>
      <w:keepNext/>
      <w:keepLines/>
      <w:spacing w:before="240" w:after="0"/>
      <w:outlineLvl w:val="0"/>
    </w:pPr>
    <w:rPr>
      <w:rFonts w:ascii="Times New Roman" w:hAnsi="Times New Roman" w:eastAsia="Times New Roman" w:cs="Times New Roman"/>
      <w:b/>
      <w:bCs/>
      <w:color w:val="2F5496"/>
      <w:kern w:val="36"/>
      <w:sz w:val="48"/>
      <w:szCs w:val="48"/>
    </w:rPr>
  </w:style>
  <w:style w:type="paragraph" w:styleId="3">
    <w:name w:val="heading 2"/>
    <w:basedOn w:val="1"/>
    <w:next w:val="1"/>
    <w:link w:val="11"/>
    <w:qFormat/>
    <w:uiPriority w:val="9"/>
    <w:pPr>
      <w:keepNext/>
      <w:keepLines/>
      <w:spacing w:before="40" w:after="0"/>
      <w:outlineLvl w:val="1"/>
    </w:pPr>
    <w:rPr>
      <w:rFonts w:ascii="Times New Roman" w:hAnsi="Times New Roman" w:eastAsia="Times New Roman" w:cs="Times New Roman"/>
      <w:b/>
      <w:bCs/>
      <w:color w:val="2F5496"/>
      <w:sz w:val="36"/>
      <w:szCs w:val="36"/>
    </w:rPr>
  </w:style>
  <w:style w:type="paragraph" w:styleId="4">
    <w:name w:val="heading 3"/>
    <w:basedOn w:val="1"/>
    <w:next w:val="1"/>
    <w:link w:val="12"/>
    <w:qFormat/>
    <w:uiPriority w:val="9"/>
    <w:pPr>
      <w:keepNext/>
      <w:keepLines/>
      <w:spacing w:before="40" w:after="0"/>
      <w:outlineLvl w:val="2"/>
    </w:pPr>
    <w:rPr>
      <w:rFonts w:ascii="Times New Roman" w:hAnsi="Times New Roman" w:eastAsia="Times New Roman" w:cs="Times New Roman"/>
      <w:b/>
      <w:bCs/>
      <w:color w:val="1F3763"/>
      <w:sz w:val="28"/>
      <w:szCs w:val="28"/>
    </w:rPr>
  </w:style>
  <w:style w:type="paragraph" w:styleId="5">
    <w:name w:val="heading 4"/>
    <w:basedOn w:val="1"/>
    <w:next w:val="1"/>
    <w:link w:val="13"/>
    <w:qFormat/>
    <w:uiPriority w:val="9"/>
    <w:pPr>
      <w:keepNext/>
      <w:keepLines/>
      <w:spacing w:before="40" w:after="0"/>
      <w:outlineLvl w:val="3"/>
    </w:pPr>
    <w:rPr>
      <w:rFonts w:ascii="Times New Roman" w:hAnsi="Times New Roman" w:eastAsia="Times New Roman" w:cs="Times New Roman"/>
      <w:b/>
      <w:bCs/>
      <w:iCs/>
      <w:color w:val="2F5496"/>
      <w:sz w:val="24"/>
      <w:szCs w:val="24"/>
    </w:rPr>
  </w:style>
  <w:style w:type="paragraph" w:styleId="6">
    <w:name w:val="heading 5"/>
    <w:basedOn w:val="1"/>
    <w:next w:val="1"/>
    <w:link w:val="14"/>
    <w:qFormat/>
    <w:uiPriority w:val="9"/>
    <w:pPr>
      <w:keepNext/>
      <w:keepLines/>
      <w:spacing w:before="40" w:after="0"/>
      <w:outlineLvl w:val="4"/>
    </w:pPr>
    <w:rPr>
      <w:rFonts w:ascii="Times New Roman" w:hAnsi="Times New Roman" w:eastAsia="Times New Roman" w:cs="Times New Roman"/>
      <w:b/>
      <w:bCs/>
      <w:color w:val="2F5496"/>
      <w:sz w:val="20"/>
      <w:szCs w:val="20"/>
    </w:rPr>
  </w:style>
  <w:style w:type="paragraph" w:styleId="7">
    <w:name w:val="heading 6"/>
    <w:basedOn w:val="1"/>
    <w:next w:val="1"/>
    <w:link w:val="15"/>
    <w:qFormat/>
    <w:uiPriority w:val="9"/>
    <w:pPr>
      <w:keepNext/>
      <w:keepLines/>
      <w:spacing w:before="40" w:after="0"/>
      <w:outlineLvl w:val="5"/>
    </w:pPr>
    <w:rPr>
      <w:rFonts w:ascii="Times New Roman" w:hAnsi="Times New Roman" w:eastAsia="Times New Roman" w:cs="Times New Roman"/>
      <w:b/>
      <w:bCs/>
      <w:color w:val="1F3763"/>
      <w:sz w:val="16"/>
      <w:szCs w:val="16"/>
    </w:rPr>
  </w:style>
  <w:style w:type="character" w:default="1" w:styleId="9">
    <w:name w:val="Default Paragraph Font"/>
    <w:semiHidden/>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character" w:customStyle="1" w:styleId="10">
    <w:name w:val="Heading 1 Char"/>
    <w:basedOn w:val="9"/>
    <w:link w:val="2"/>
    <w:qFormat/>
    <w:uiPriority w:val="9"/>
    <w:rPr>
      <w:rFonts w:ascii="Calibri Light" w:hAnsi="Calibri Light" w:eastAsia="Times New Roman" w:cs="Times New Roman"/>
      <w:color w:val="2F5496"/>
      <w:sz w:val="32"/>
      <w:szCs w:val="32"/>
    </w:rPr>
  </w:style>
  <w:style w:type="character" w:customStyle="1" w:styleId="11">
    <w:name w:val="Heading 2 Char"/>
    <w:basedOn w:val="9"/>
    <w:link w:val="3"/>
    <w:qFormat/>
    <w:uiPriority w:val="9"/>
    <w:rPr>
      <w:rFonts w:ascii="Calibri Light" w:hAnsi="Calibri Light" w:eastAsia="Times New Roman" w:cs="Times New Roman"/>
      <w:color w:val="2F5496"/>
      <w:sz w:val="26"/>
      <w:szCs w:val="26"/>
    </w:rPr>
  </w:style>
  <w:style w:type="character" w:customStyle="1" w:styleId="12">
    <w:name w:val="Heading 3 Char"/>
    <w:basedOn w:val="9"/>
    <w:link w:val="4"/>
    <w:uiPriority w:val="9"/>
    <w:rPr>
      <w:rFonts w:ascii="Calibri Light" w:hAnsi="Calibri Light" w:eastAsia="Times New Roman" w:cs="Times New Roman"/>
      <w:color w:val="1F3763"/>
      <w:sz w:val="24"/>
      <w:szCs w:val="24"/>
    </w:rPr>
  </w:style>
  <w:style w:type="character" w:customStyle="1" w:styleId="13">
    <w:name w:val="Heading 4 Char"/>
    <w:basedOn w:val="9"/>
    <w:link w:val="5"/>
    <w:uiPriority w:val="9"/>
    <w:rPr>
      <w:rFonts w:ascii="Calibri Light" w:hAnsi="Calibri Light" w:eastAsia="Times New Roman" w:cs="Times New Roman"/>
      <w:i/>
      <w:iCs/>
      <w:color w:val="2F5496"/>
    </w:rPr>
  </w:style>
  <w:style w:type="character" w:customStyle="1" w:styleId="14">
    <w:name w:val="Heading 5 Char"/>
    <w:basedOn w:val="9"/>
    <w:link w:val="6"/>
    <w:uiPriority w:val="9"/>
    <w:rPr>
      <w:rFonts w:ascii="Calibri Light" w:hAnsi="Calibri Light" w:eastAsia="Times New Roman" w:cs="Times New Roman"/>
      <w:color w:val="2F5496"/>
    </w:rPr>
  </w:style>
  <w:style w:type="character" w:customStyle="1" w:styleId="15">
    <w:name w:val="Heading 6 Char"/>
    <w:basedOn w:val="9"/>
    <w:link w:val="7"/>
    <w:uiPriority w:val="9"/>
    <w:rPr>
      <w:rFonts w:ascii="Calibri Light" w:hAnsi="Calibri Light" w:eastAsia="Times New Roman" w:cs="Times New Roman"/>
      <w:color w:val="1F3763"/>
    </w:rPr>
  </w:style>
  <w:style w:type="paragraph" w:customStyle="1" w:styleId="16">
    <w:name w:val="wmain"/>
    <w:basedOn w:val="1"/>
    <w:uiPriority w:val="0"/>
    <w:pPr>
      <w:pBdr>
        <w:top w:val="none" w:color="auto" w:sz="0" w:space="0"/>
        <w:left w:val="none" w:color="auto" w:sz="0" w:space="0"/>
        <w:bottom w:val="none" w:color="auto" w:sz="0" w:space="0"/>
        <w:right w:val="none" w:color="auto" w:sz="0" w:space="0"/>
      </w:pBdr>
    </w:pPr>
  </w:style>
  <w:style w:type="paragraph" w:customStyle="1" w:styleId="17">
    <w:name w:val="title"/>
    <w:basedOn w:val="1"/>
    <w:uiPriority w:val="0"/>
    <w:pPr>
      <w:pBdr>
        <w:top w:val="none" w:color="auto" w:sz="0" w:space="3"/>
        <w:left w:val="none" w:color="auto" w:sz="0" w:space="0"/>
        <w:bottom w:val="none" w:color="auto" w:sz="0" w:space="3"/>
        <w:right w:val="none" w:color="auto" w:sz="0" w:space="0"/>
      </w:pBdr>
      <w:jc w:val="center"/>
    </w:pPr>
    <w:rPr>
      <w:sz w:val="27"/>
      <w:szCs w:val="27"/>
    </w:rPr>
  </w:style>
  <w:style w:type="paragraph" w:customStyle="1" w:styleId="18">
    <w:name w:val="tablediv"/>
    <w:basedOn w:val="1"/>
    <w:uiPriority w:val="0"/>
    <w:pPr>
      <w:pBdr>
        <w:top w:val="none" w:color="auto" w:sz="0" w:space="0"/>
        <w:left w:val="none" w:color="auto" w:sz="0" w:space="0"/>
        <w:bottom w:val="none" w:color="auto" w:sz="0" w:space="0"/>
        <w:right w:val="none" w:color="auto" w:sz="0" w:space="0"/>
      </w:pBdr>
    </w:pPr>
  </w:style>
  <w:style w:type="table" w:customStyle="1" w:styleId="19">
    <w:name w:val="tabList"/>
    <w:basedOn w:val="8"/>
    <w:qFormat/>
    <w:uiPriority w:val="0"/>
  </w:style>
  <w:style w:type="paragraph" w:customStyle="1" w:styleId="20">
    <w:name w:val="PersonName"/>
    <w:basedOn w:val="1"/>
    <w:qFormat/>
    <w:uiPriority w:val="0"/>
    <w:pPr>
      <w:pBdr>
        <w:top w:val="none" w:color="auto" w:sz="0" w:space="0"/>
        <w:left w:val="none" w:color="auto" w:sz="0" w:space="0"/>
        <w:bottom w:val="none" w:color="auto" w:sz="0" w:space="0"/>
        <w:right w:val="none" w:color="auto" w:sz="0" w:space="0"/>
      </w:pBdr>
    </w:pPr>
  </w:style>
  <w:style w:type="paragraph" w:customStyle="1" w:styleId="21">
    <w:name w:val="p"/>
    <w:basedOn w:val="1"/>
    <w:qFormat/>
    <w:uiPriority w:val="0"/>
    <w:pPr>
      <w:pBdr>
        <w:top w:val="none" w:color="auto" w:sz="0" w:space="0"/>
        <w:left w:val="none" w:color="auto" w:sz="0" w:space="0"/>
        <w:bottom w:val="none" w:color="auto" w:sz="0" w:space="0"/>
        <w:right w:val="none" w:color="auto" w:sz="0" w:space="0"/>
      </w:pBdr>
      <w:spacing w:line="36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553</Words>
  <Characters>610</Characters>
  <Lines>0</Lines>
  <Paragraphs>0</Paragraphs>
  <TotalTime>122</TotalTime>
  <ScaleCrop>false</ScaleCrop>
  <LinksUpToDate>false</LinksUpToDate>
  <CharactersWithSpaces>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2026-05-11T00:40:29Z</dcterms:created>
  <dc:creator>Administrator</dc:creator>
  <cp:lastModifiedBy>悦</cp:lastModifiedBy>
  <cp:lastPrinted>2026-05-11T00:51:40Z</cp:lastPrinted>
  <dcterms:modified xsi:type="dcterms:W3CDTF">2026-05-11T02:42:58Z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eyJoZGlkIjoiNTQxNGEwZTYxZTgyZmEwNjM0MGE0MmY4MjhiYzI4MGUiLCJ1c2VySWQiOiIxMTQwNjE4MjMzIn0=</vt:lpwstr>
  </property>
  <property fmtid="{D5CDD505-2E9C-101B-9397-08002B2CF9AE}" pid="3" name="KSOProductBuildVer">
    <vt:lpwstr>2052-12.1.0.25865</vt:lpwstr>
  </property>
  <property fmtid="{D5CDD505-2E9C-101B-9397-08002B2CF9AE}" pid="4" name="ICV">
    <vt:lpwstr>7737B7EBACE74ED3AA7DCBDB6366424E_12</vt:lpwstr>
  </property>
</Properties>
</file>