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6"/>
          <w:szCs w:val="44"/>
        </w:rPr>
      </w:pPr>
      <w:r>
        <w:rPr>
          <w:rFonts w:hint="eastAsia"/>
          <w:b/>
          <w:bCs/>
          <w:sz w:val="36"/>
          <w:szCs w:val="44"/>
          <w:lang w:eastAsia="zh-CN"/>
        </w:rPr>
        <w:t>智慧高新—信息化设施建设项目(智慧监管平台项目一期)、智慧高新一信息化设施建设项目(智慧监管平台项目二期)、智慧高新—信息化设施建设项目(大数据中心建设项目一期)三个项目打捆</w:t>
      </w:r>
    </w:p>
    <w:tbl>
      <w:tblPr>
        <w:tblStyle w:val="5"/>
        <w:tblW w:w="5000" w:type="pct"/>
        <w:tblInd w:w="0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897"/>
        <w:gridCol w:w="3897"/>
        <w:gridCol w:w="3897"/>
        <w:gridCol w:w="3923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5000" w:type="pct"/>
            <w:gridSpan w:val="4"/>
            <w:tcBorders>
              <w:top w:val="outset" w:color="auto" w:sz="6" w:space="0"/>
              <w:left w:val="outset" w:color="auto" w:sz="6" w:space="0"/>
              <w:bottom w:val="single" w:color="auto" w:sz="8" w:space="0"/>
              <w:right w:val="outset" w:color="auto" w:sz="6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u w:val="single"/>
                <w:lang w:eastAsia="zh-CN"/>
              </w:rPr>
              <w:t xml:space="preserve">智慧高新—信息化设施建设项目(智慧监管平台项目一期)、智慧高新一信息化设施建设项目(智慧监管平台项目二期)、智慧高新—信息化设施建设项目(大数据中心建设项目一期)三个项目打捆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  <w:t>（项目名称）</w:t>
            </w:r>
          </w:p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600" w:lineRule="atLeast"/>
              <w:ind w:left="0" w:right="0"/>
              <w:jc w:val="center"/>
              <w:rPr>
                <w:rFonts w:hint="default" w:ascii="Calibri" w:hAnsi="Calibri" w:cs="Calibri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</w:rPr>
              <w:t>招标代理机构比选公告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招标人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eastAsia="zh-CN"/>
              </w:rPr>
              <w:t>自贡高投综合能源发展有限公司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项目审批核准（备案）部门</w:t>
            </w:r>
          </w:p>
        </w:tc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自贡市发展和改革委员会 </w:t>
            </w:r>
          </w:p>
        </w:tc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批复文号</w:t>
            </w:r>
          </w:p>
        </w:tc>
        <w:tc>
          <w:tcPr>
            <w:tcW w:w="12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自发〔2024〕项批新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22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号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、自发〔2024〕项批新24号、自发〔2024〕项批新20号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建设地点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四川省自贡市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建设规模及内容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spacing w:before="211" w:line="363" w:lineRule="auto"/>
              <w:ind w:right="148" w:firstLine="649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spacing w:val="6"/>
              </w:rPr>
              <w:t>项目拟对智慧公安警务数据系统、大数据一体化合成作战体</w:t>
            </w:r>
            <w:r>
              <w:rPr>
                <w:spacing w:val="-3"/>
              </w:rPr>
              <w:t>系等平台进行系统建设，配套相应服务器、</w:t>
            </w:r>
            <w:r>
              <w:rPr>
                <w:rFonts w:ascii="Times New Roman" w:hAnsi="Times New Roman" w:eastAsia="Times New Roman" w:cs="Times New Roman"/>
                <w:spacing w:val="-3"/>
              </w:rPr>
              <w:t>AI</w:t>
            </w:r>
            <w:r>
              <w:rPr>
                <w:rFonts w:ascii="Times New Roman" w:hAnsi="Times New Roman" w:eastAsia="Times New Roman" w:cs="Times New Roman"/>
                <w:spacing w:val="29"/>
              </w:rPr>
              <w:t xml:space="preserve"> </w:t>
            </w:r>
            <w:r>
              <w:rPr>
                <w:spacing w:val="-3"/>
              </w:rPr>
              <w:t>大数据分析服务器、</w:t>
            </w:r>
            <w:r>
              <w:rPr>
                <w:spacing w:val="7"/>
              </w:rPr>
              <w:t>智能运维平台等硬件，以及各系统集成相应的情</w:t>
            </w:r>
            <w:r>
              <w:rPr>
                <w:spacing w:val="6"/>
              </w:rPr>
              <w:t>报信息资源数据</w:t>
            </w:r>
            <w:r>
              <w:rPr>
                <w:spacing w:val="7"/>
              </w:rPr>
              <w:t>库群等建设内容。对高新辖区部分重点区域建立三维地图引擎平</w:t>
            </w:r>
            <w:r>
              <w:rPr>
                <w:spacing w:val="3"/>
              </w:rPr>
              <w:t>台和三维城市底座，建成全区3</w:t>
            </w:r>
            <w:r>
              <w:rPr>
                <w:rFonts w:ascii="宋体" w:hAnsi="宋体" w:eastAsia="宋体" w:cs="宋体"/>
                <w:spacing w:val="3"/>
              </w:rPr>
              <w:t xml:space="preserve">D </w:t>
            </w:r>
            <w:r>
              <w:rPr>
                <w:spacing w:val="3"/>
              </w:rPr>
              <w:t>可视化地图，实现为城市重点事</w:t>
            </w:r>
            <w:r>
              <w:t>项提供可视化大数据支持。</w:t>
            </w:r>
            <w:r>
              <w:rPr>
                <w:spacing w:val="2"/>
              </w:rPr>
              <w:t>项目建设三级停车诱导和辅助决策系统，包括户外</w:t>
            </w:r>
            <w:r>
              <w:rPr>
                <w:spacing w:val="-54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</w:rPr>
              <w:t>LED</w:t>
            </w:r>
            <w:r>
              <w:rPr>
                <w:rFonts w:ascii="Times New Roman" w:hAnsi="Times New Roman" w:eastAsia="Times New Roman" w:cs="Times New Roman"/>
                <w:spacing w:val="2"/>
              </w:rPr>
              <w:t xml:space="preserve"> </w:t>
            </w:r>
            <w:r>
              <w:rPr>
                <w:spacing w:val="2"/>
              </w:rPr>
              <w:t>诱导</w:t>
            </w:r>
            <w:r>
              <w:t xml:space="preserve"> </w:t>
            </w:r>
            <w:r>
              <w:rPr>
                <w:spacing w:val="7"/>
              </w:rPr>
              <w:t>屏、停车诱导系统平台等；对辖区道路外场智慧管控设施点位加</w:t>
            </w:r>
            <w:r>
              <w:rPr>
                <w:spacing w:val="6"/>
              </w:rPr>
              <w:t>密和扩建，包括视频监控、环保补光装置更换、电子警察及卡口系统完善等；同步进行相关配套系统建设和升级扩容以及通信网</w:t>
            </w:r>
            <w:r>
              <w:rPr>
                <w:spacing w:val="4"/>
              </w:rPr>
              <w:t>络运维等建设内容，实现高清视频流量采集、事件检测和报警、</w:t>
            </w:r>
            <w:r>
              <w:rPr>
                <w:spacing w:val="3"/>
              </w:rPr>
              <w:t>视频监控、诱导发布和视频综合检测等功能。</w:t>
            </w:r>
            <w:r>
              <w:rPr>
                <w:spacing w:val="16"/>
                <w:sz w:val="30"/>
                <w:szCs w:val="30"/>
              </w:rPr>
              <w:t>本项目建设内容主要分为前端和后端两个部分，前</w:t>
            </w:r>
            <w:r>
              <w:rPr>
                <w:spacing w:val="15"/>
                <w:sz w:val="30"/>
                <w:szCs w:val="30"/>
              </w:rPr>
              <w:t>端主要包</w:t>
            </w:r>
            <w:r>
              <w:rPr>
                <w:spacing w:val="16"/>
                <w:sz w:val="30"/>
                <w:szCs w:val="30"/>
              </w:rPr>
              <w:t>含：原有前端设备升级、增加固定前端设备、增加可以移动式前</w:t>
            </w:r>
            <w:r>
              <w:rPr>
                <w:spacing w:val="13"/>
                <w:sz w:val="30"/>
                <w:szCs w:val="30"/>
              </w:rPr>
              <w:t xml:space="preserve"> 端感知源设备及配套辅材等；后端主要包含：算力和存储建设、</w:t>
            </w:r>
            <w:r>
              <w:rPr>
                <w:spacing w:val="15"/>
                <w:sz w:val="30"/>
                <w:szCs w:val="30"/>
              </w:rPr>
              <w:t>配套机房和操作设备建设、运维和传输链路、无人机控制平台及</w:t>
            </w:r>
            <w:r>
              <w:rPr>
                <w:spacing w:val="12"/>
                <w:sz w:val="30"/>
                <w:szCs w:val="30"/>
              </w:rPr>
              <w:t>配套辅材等。为公共安全事业提供有力地支撑。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本项目估算金额(万元)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9000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类似业绩</w:t>
            </w:r>
          </w:p>
        </w:tc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市政（不含城市轨道） </w:t>
            </w:r>
          </w:p>
        </w:tc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是否允许有不良记录</w:t>
            </w:r>
          </w:p>
        </w:tc>
        <w:tc>
          <w:tcPr>
            <w:tcW w:w="12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否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代理范围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勘察、设计、施工、监理、与工程有关的重要设备和材料及其他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招标代理费（万元）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合计：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28.55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勘察：0.0; 设计 :0.0; 监理 :0.0; 施工: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lang w:val="en-US" w:eastAsia="zh-CN"/>
              </w:rPr>
              <w:t>28.55</w:t>
            </w: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; 货物:0.0; 设备 :0.0; 其他:0.0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计划招标时间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00:00至202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15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23:59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比选报名时间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12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00:00至202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>03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-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  <w:lang w:val="en-US" w:eastAsia="zh-CN"/>
              </w:rPr>
              <w:t xml:space="preserve">15 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highlight w:val="none"/>
              </w:rPr>
              <w:t>23:59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其他需要说明事项</w:t>
            </w:r>
          </w:p>
        </w:tc>
        <w:tc>
          <w:tcPr>
            <w:tcW w:w="3751" w:type="pct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联系人</w:t>
            </w:r>
          </w:p>
        </w:tc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 xml:space="preserve">陈老师 </w:t>
            </w:r>
          </w:p>
        </w:tc>
        <w:tc>
          <w:tcPr>
            <w:tcW w:w="1248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>联系电话</w:t>
            </w:r>
          </w:p>
        </w:tc>
        <w:tc>
          <w:tcPr>
            <w:tcW w:w="1253" w:type="pc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40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</w:rPr>
              <w:t xml:space="preserve">0813-8211428 </w:t>
            </w:r>
          </w:p>
        </w:tc>
      </w:tr>
    </w:tbl>
    <w:p>
      <w:pPr>
        <w:rPr>
          <w:rFonts w:hint="eastAsia" w:eastAsiaTheme="minorEastAsia"/>
          <w:lang w:val="en-US" w:eastAsia="zh-CN"/>
        </w:rPr>
      </w:pPr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onospace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E0ODkzYTY1NDA1MWU4MzYwZjJiMzc2NjM3ODA4NGUifQ=="/>
  </w:docVars>
  <w:rsids>
    <w:rsidRoot w:val="00000000"/>
    <w:rsid w:val="012A6BDB"/>
    <w:rsid w:val="07E1517F"/>
    <w:rsid w:val="0E6024C2"/>
    <w:rsid w:val="12053590"/>
    <w:rsid w:val="134A4EBA"/>
    <w:rsid w:val="14E05AD6"/>
    <w:rsid w:val="176A78D9"/>
    <w:rsid w:val="25FC0296"/>
    <w:rsid w:val="2AB70EF7"/>
    <w:rsid w:val="41D8350E"/>
    <w:rsid w:val="4736312B"/>
    <w:rsid w:val="4A2301F4"/>
    <w:rsid w:val="527B1310"/>
    <w:rsid w:val="54AB6860"/>
    <w:rsid w:val="555D3FFE"/>
    <w:rsid w:val="55945546"/>
    <w:rsid w:val="5C82434A"/>
    <w:rsid w:val="5CF27109"/>
    <w:rsid w:val="5F957125"/>
    <w:rsid w:val="6232236E"/>
    <w:rsid w:val="6967535A"/>
    <w:rsid w:val="6A356B81"/>
    <w:rsid w:val="6DC81DD9"/>
    <w:rsid w:val="6ED76777"/>
    <w:rsid w:val="711517D9"/>
    <w:rsid w:val="73926643"/>
    <w:rsid w:val="7DC6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autoRedefine/>
    <w:semiHidden/>
    <w:qFormat/>
    <w:uiPriority w:val="0"/>
    <w:rPr>
      <w:rFonts w:ascii="仿宋" w:hAnsi="仿宋" w:eastAsia="仿宋" w:cs="仿宋"/>
      <w:sz w:val="32"/>
      <w:szCs w:val="32"/>
      <w:lang w:val="en-US" w:eastAsia="en-US" w:bidi="ar-SA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</w:style>
  <w:style w:type="character" w:styleId="8">
    <w:name w:val="FollowedHyperlink"/>
    <w:basedOn w:val="6"/>
    <w:autoRedefine/>
    <w:qFormat/>
    <w:uiPriority w:val="0"/>
    <w:rPr>
      <w:color w:val="800080"/>
      <w:u w:val="none"/>
    </w:rPr>
  </w:style>
  <w:style w:type="character" w:styleId="9">
    <w:name w:val="Emphasis"/>
    <w:basedOn w:val="6"/>
    <w:autoRedefine/>
    <w:qFormat/>
    <w:uiPriority w:val="0"/>
  </w:style>
  <w:style w:type="character" w:styleId="10">
    <w:name w:val="HTML Definition"/>
    <w:basedOn w:val="6"/>
    <w:autoRedefine/>
    <w:qFormat/>
    <w:uiPriority w:val="0"/>
    <w:rPr>
      <w:color w:val="333333"/>
      <w:sz w:val="21"/>
      <w:szCs w:val="21"/>
      <w:shd w:val="clear" w:fill="F8F8F8"/>
    </w:rPr>
  </w:style>
  <w:style w:type="character" w:styleId="11">
    <w:name w:val="HTML Typewriter"/>
    <w:basedOn w:val="6"/>
    <w:autoRedefine/>
    <w:qFormat/>
    <w:uiPriority w:val="0"/>
    <w:rPr>
      <w:rFonts w:ascii="monospace" w:hAnsi="monospace" w:eastAsia="monospace" w:cs="monospace"/>
      <w:sz w:val="20"/>
    </w:rPr>
  </w:style>
  <w:style w:type="character" w:styleId="12">
    <w:name w:val="HTML Acronym"/>
    <w:basedOn w:val="6"/>
    <w:autoRedefine/>
    <w:qFormat/>
    <w:uiPriority w:val="0"/>
  </w:style>
  <w:style w:type="character" w:styleId="13">
    <w:name w:val="HTML Variable"/>
    <w:basedOn w:val="6"/>
    <w:autoRedefine/>
    <w:qFormat/>
    <w:uiPriority w:val="0"/>
  </w:style>
  <w:style w:type="character" w:styleId="14">
    <w:name w:val="Hyperlink"/>
    <w:basedOn w:val="6"/>
    <w:autoRedefine/>
    <w:qFormat/>
    <w:uiPriority w:val="0"/>
    <w:rPr>
      <w:color w:val="0000FF"/>
      <w:u w:val="none"/>
    </w:rPr>
  </w:style>
  <w:style w:type="character" w:styleId="15">
    <w:name w:val="HTML Code"/>
    <w:basedOn w:val="6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6">
    <w:name w:val="HTML Cite"/>
    <w:basedOn w:val="6"/>
    <w:autoRedefine/>
    <w:qFormat/>
    <w:uiPriority w:val="0"/>
  </w:style>
  <w:style w:type="character" w:styleId="17">
    <w:name w:val="HTML Keyboard"/>
    <w:basedOn w:val="6"/>
    <w:autoRedefine/>
    <w:qFormat/>
    <w:uiPriority w:val="0"/>
    <w:rPr>
      <w:rFonts w:hint="default" w:ascii="monospace" w:hAnsi="monospace" w:eastAsia="monospace" w:cs="monospace"/>
      <w:sz w:val="20"/>
    </w:rPr>
  </w:style>
  <w:style w:type="character" w:styleId="18">
    <w:name w:val="HTML Sample"/>
    <w:basedOn w:val="6"/>
    <w:autoRedefine/>
    <w:qFormat/>
    <w:uiPriority w:val="0"/>
    <w:rPr>
      <w:rFonts w:hint="default" w:ascii="monospace" w:hAnsi="monospace" w:eastAsia="monospace" w:cs="monospace"/>
    </w:rPr>
  </w:style>
  <w:style w:type="character" w:customStyle="1" w:styleId="19">
    <w:name w:val="layui-layer-tabnow"/>
    <w:basedOn w:val="6"/>
    <w:autoRedefine/>
    <w:qFormat/>
    <w:uiPriority w:val="0"/>
    <w:rPr>
      <w:bdr w:val="single" w:color="CCCCCC" w:sz="6" w:space="0"/>
      <w:shd w:val="clear" w:fill="FFFFFF"/>
    </w:rPr>
  </w:style>
  <w:style w:type="character" w:customStyle="1" w:styleId="20">
    <w:name w:val="first-child"/>
    <w:basedOn w:val="6"/>
    <w:autoRedefine/>
    <w:qFormat/>
    <w:uiPriority w:val="0"/>
  </w:style>
  <w:style w:type="paragraph" w:customStyle="1" w:styleId="21">
    <w:name w:val="detailed-desc"/>
    <w:basedOn w:val="1"/>
    <w:autoRedefine/>
    <w:qFormat/>
    <w:uiPriority w:val="0"/>
    <w:pPr>
      <w:pBdr>
        <w:bottom w:val="single" w:color="E6E6E6" w:sz="6" w:space="12"/>
      </w:pBdr>
      <w:spacing w:before="210" w:beforeAutospacing="0" w:after="300" w:afterAutospacing="0"/>
      <w:jc w:val="center"/>
    </w:pPr>
    <w:rPr>
      <w:color w:val="999999"/>
      <w:kern w:val="0"/>
      <w:sz w:val="21"/>
      <w:szCs w:val="21"/>
      <w:lang w:val="en-US" w:eastAsia="zh-CN" w:bidi="ar"/>
    </w:rPr>
  </w:style>
  <w:style w:type="character" w:customStyle="1" w:styleId="22">
    <w:name w:val="hidden1"/>
    <w:basedOn w:val="6"/>
    <w:autoRedefine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2023-10-19T07:03:00Z</dcterms:created>
  <dc:creator>Administrator</dc:creator>
  <cp:lastModifiedBy>別來無恙...</cp:lastModifiedBy>
  <dcterms:modified xsi:type="dcterms:W3CDTF">2024-03-12T02:16:38Z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45D10EC90F9447EAB25E62D67A3CD343_12</vt:lpwstr>
  </property>
</Properties>
</file>